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bookmarkStart w:id="0" w:name="_GoBack"/>
      <w:bookmarkEnd w:id="0"/>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202</w:t>
      </w:r>
      <w:r>
        <w:rPr>
          <w:rFonts w:hint="default" w:ascii="方正小标宋简体" w:hAnsi="方正小标宋简体" w:eastAsia="方正小标宋简体" w:cs="方正小标宋简体"/>
          <w:b w:val="0"/>
          <w:bCs w:val="0"/>
          <w:color w:val="000000" w:themeColor="text1"/>
          <w:sz w:val="44"/>
          <w:szCs w:val="44"/>
          <w:lang w:val="en" w:eastAsia="zh-CN"/>
          <w14:textFill>
            <w14:solidFill>
              <w14:schemeClr w14:val="tx1"/>
            </w14:solidFill>
          </w14:textFill>
        </w:rPr>
        <w:t>3</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年第</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四期</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在</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建工程项目标</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后履约</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联合</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检查</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情况的通报</w:t>
      </w: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outlineLvl w:val="9"/>
        <w:rPr>
          <w:rFonts w:hint="eastAsia" w:ascii="仿宋" w:hAnsi="仿宋" w:eastAsia="仿宋"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outlineLvl w:val="9"/>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各有关单位</w:t>
      </w:r>
      <w:r>
        <w:rPr>
          <w:rFonts w:hint="eastAsia" w:ascii="仿宋" w:hAnsi="仿宋" w:eastAsia="仿宋" w:cs="仿宋"/>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为贯彻落实市纪委市监委有关开展损害营商环境问题专项整治部署要求，进一步打击</w:t>
      </w:r>
      <w:r>
        <w:rPr>
          <w:rFonts w:hint="eastAsia" w:ascii="仿宋" w:hAnsi="仿宋" w:eastAsia="仿宋" w:cs="仿宋"/>
          <w:color w:val="auto"/>
          <w:sz w:val="32"/>
          <w:szCs w:val="32"/>
          <w:u w:val="none"/>
          <w:lang w:eastAsia="zh-CN"/>
        </w:rPr>
        <w:t>招投标领域重大违法违规违纪行为</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规范合同履约行为，促进我市建筑业健康发展，营造良好营商环境，根据《温州市人民政府关于进一步规范工程建设项目招标投标活动的实施意见》（温政发〔20</w:t>
      </w:r>
      <w:r>
        <w:rPr>
          <w:rFonts w:hint="eastAsia" w:ascii="仿宋" w:hAnsi="仿宋" w:eastAsia="仿宋" w:cs="仿宋"/>
          <w:color w:val="auto"/>
          <w:sz w:val="32"/>
          <w:szCs w:val="32"/>
          <w:u w:val="none"/>
          <w:lang w:val="en-US" w:eastAsia="zh-CN"/>
        </w:rPr>
        <w:t>21</w:t>
      </w:r>
      <w:r>
        <w:rPr>
          <w:rFonts w:hint="eastAsia" w:ascii="仿宋" w:hAnsi="仿宋" w:eastAsia="仿宋" w:cs="仿宋"/>
          <w:color w:val="auto"/>
          <w:sz w:val="32"/>
          <w:szCs w:val="32"/>
          <w:u w:val="none"/>
          <w:lang w:eastAsia="zh-CN"/>
        </w:rPr>
        <w:t>〕1</w:t>
      </w:r>
      <w:r>
        <w:rPr>
          <w:rFonts w:hint="eastAsia" w:ascii="仿宋" w:hAnsi="仿宋" w:eastAsia="仿宋" w:cs="仿宋"/>
          <w:color w:val="auto"/>
          <w:sz w:val="32"/>
          <w:szCs w:val="32"/>
          <w:u w:val="none"/>
          <w:lang w:val="en-US" w:eastAsia="zh-CN"/>
        </w:rPr>
        <w:t>1</w:t>
      </w:r>
      <w:r>
        <w:rPr>
          <w:rFonts w:hint="eastAsia" w:ascii="仿宋" w:hAnsi="仿宋" w:eastAsia="仿宋" w:cs="仿宋"/>
          <w:color w:val="auto"/>
          <w:sz w:val="32"/>
          <w:szCs w:val="32"/>
          <w:u w:val="none"/>
          <w:lang w:eastAsia="zh-CN"/>
        </w:rPr>
        <w:t>号）、《温州市本级建设工程项目标后履约联合检查方案》（温政服</w:t>
      </w:r>
      <w:r>
        <w:rPr>
          <w:rFonts w:hint="eastAsia" w:ascii="仿宋" w:hAnsi="仿宋" w:eastAsia="仿宋" w:cs="仿宋"/>
          <w:color w:val="auto"/>
          <w:sz w:val="32"/>
          <w:szCs w:val="32"/>
          <w:u w:val="none"/>
          <w:lang w:val="en-US" w:eastAsia="zh-CN"/>
        </w:rPr>
        <w:t>〔2019〕57号</w:t>
      </w:r>
      <w:r>
        <w:rPr>
          <w:rFonts w:hint="eastAsia" w:ascii="仿宋" w:hAnsi="仿宋" w:eastAsia="仿宋" w:cs="仿宋"/>
          <w:color w:val="auto"/>
          <w:sz w:val="32"/>
          <w:szCs w:val="32"/>
          <w:u w:val="none"/>
          <w:lang w:eastAsia="zh-CN"/>
        </w:rPr>
        <w:t>）等文件规定，</w:t>
      </w:r>
      <w:r>
        <w:rPr>
          <w:rFonts w:hint="eastAsia" w:ascii="仿宋" w:hAnsi="仿宋" w:eastAsia="仿宋" w:cs="仿宋"/>
          <w:color w:val="auto"/>
          <w:sz w:val="32"/>
          <w:szCs w:val="32"/>
          <w:u w:val="none"/>
          <w:lang w:val="zh-CN" w:eastAsia="zh-CN"/>
        </w:rPr>
        <w:t>结合“公优廉一体化”监管机制建设要求，</w:t>
      </w:r>
      <w:r>
        <w:rPr>
          <w:rFonts w:hint="eastAsia" w:ascii="仿宋" w:hAnsi="仿宋" w:eastAsia="仿宋" w:cs="仿宋"/>
          <w:color w:val="auto"/>
          <w:sz w:val="32"/>
          <w:szCs w:val="32"/>
          <w:u w:val="none"/>
          <w:lang w:val="en-US" w:eastAsia="zh-CN"/>
        </w:rPr>
        <w:t>2023年12月5日至8日，温州</w:t>
      </w:r>
      <w:r>
        <w:rPr>
          <w:rFonts w:hint="eastAsia" w:ascii="仿宋" w:hAnsi="仿宋" w:eastAsia="仿宋" w:cs="仿宋"/>
          <w:color w:val="auto"/>
          <w:sz w:val="32"/>
          <w:szCs w:val="32"/>
          <w:u w:val="none"/>
          <w:lang w:eastAsia="zh-CN"/>
        </w:rPr>
        <w:t>市公共资源交易管委办对龙港市人民医院建设工程室外工程和主体附属用房工程、温州机场交通枢纽综合体及公用配套工程-综合体商业公共区装饰工程、龙湾二期智能制造基地及配套基础设施建设工程（一期）一阶段等</w:t>
      </w:r>
      <w:r>
        <w:rPr>
          <w:rFonts w:hint="default" w:ascii="仿宋" w:hAnsi="仿宋" w:eastAsia="仿宋" w:cs="仿宋"/>
          <w:color w:val="auto"/>
          <w:sz w:val="32"/>
          <w:szCs w:val="32"/>
          <w:u w:val="none"/>
          <w:lang w:val="en" w:eastAsia="zh-CN"/>
        </w:rPr>
        <w:t>1</w:t>
      </w: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lang w:eastAsia="zh-CN"/>
        </w:rPr>
        <w:t>个政府投资在建项目进行专项检查，现将有关情况</w:t>
      </w:r>
      <w:r>
        <w:rPr>
          <w:rFonts w:hint="eastAsia" w:ascii="仿宋" w:hAnsi="仿宋" w:eastAsia="仿宋" w:cs="仿宋"/>
          <w:color w:val="auto"/>
          <w:sz w:val="32"/>
          <w:szCs w:val="32"/>
          <w:u w:val="none"/>
          <w:lang w:val="en-US" w:eastAsia="zh-CN"/>
        </w:rPr>
        <w:t>通报</w:t>
      </w:r>
      <w:r>
        <w:rPr>
          <w:rFonts w:hint="eastAsia" w:ascii="仿宋" w:hAnsi="仿宋" w:eastAsia="仿宋" w:cs="仿宋"/>
          <w:color w:val="auto"/>
          <w:sz w:val="32"/>
          <w:szCs w:val="32"/>
          <w:u w:val="none"/>
          <w:lang w:eastAsia="zh-CN"/>
        </w:rPr>
        <w:t>如下：</w:t>
      </w:r>
    </w:p>
    <w:p>
      <w:pPr>
        <w:keepNext w:val="0"/>
        <w:keepLines w:val="0"/>
        <w:pageBreakBefore w:val="0"/>
        <w:widowControl w:val="0"/>
        <w:kinsoku/>
        <w:wordWrap/>
        <w:overflowPunct/>
        <w:topLinePunct w:val="0"/>
        <w:autoSpaceDE/>
        <w:autoSpaceDN/>
        <w:bidi w:val="0"/>
        <w:adjustRightInd w:val="0"/>
        <w:snapToGrid/>
        <w:spacing w:line="560" w:lineRule="exact"/>
        <w:ind w:firstLine="626" w:firstLineChars="200"/>
        <w:jc w:val="both"/>
        <w:textAlignment w:val="auto"/>
        <w:outlineLvl w:val="9"/>
        <w:rPr>
          <w:rFonts w:hint="eastAsia" w:ascii="黑体" w:hAnsi="黑体" w:eastAsia="黑体" w:cs="黑体"/>
          <w:color w:val="000000" w:themeColor="text1"/>
          <w:w w:val="98"/>
          <w:sz w:val="32"/>
          <w:szCs w:val="32"/>
          <w:u w:val="none"/>
          <w:lang w:eastAsia="zh-CN"/>
          <w14:textFill>
            <w14:solidFill>
              <w14:schemeClr w14:val="tx1"/>
            </w14:solidFill>
          </w14:textFill>
        </w:rPr>
      </w:pPr>
      <w:r>
        <w:rPr>
          <w:rFonts w:hint="eastAsia" w:ascii="黑体" w:hAnsi="黑体" w:eastAsia="黑体" w:cs="黑体"/>
          <w:color w:val="000000" w:themeColor="text1"/>
          <w:w w:val="98"/>
          <w:sz w:val="32"/>
          <w:szCs w:val="32"/>
          <w:u w:val="none"/>
          <w:lang w:eastAsia="zh-CN"/>
          <w14:textFill>
            <w14:solidFill>
              <w14:schemeClr w14:val="tx1"/>
            </w14:solidFill>
          </w14:textFill>
        </w:rPr>
        <w:t>一、基本情况</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检查范围主要涉及施工主合同、分包合同签订情况；关键岗位人员备案和到岗履职情况；工程变更和工期执行情况等方面。总体来看，项目各方责任主体能够积极落实有关法律法规，对标后管理工作较为重视。项目业主按规定对项目实施公开招标，暂无发现各类不合理限制和隐性壁垒或违反规定指定分包单位的行为。施工单位在项目中标后，均与项目业主签订了施工合同，合同内容与中标通知书相符。</w:t>
      </w:r>
    </w:p>
    <w:p>
      <w:pPr>
        <w:keepNext w:val="0"/>
        <w:keepLines w:val="0"/>
        <w:pageBreakBefore w:val="0"/>
        <w:widowControl w:val="0"/>
        <w:kinsoku/>
        <w:wordWrap/>
        <w:overflowPunct/>
        <w:topLinePunct w:val="0"/>
        <w:autoSpaceDE/>
        <w:autoSpaceDN/>
        <w:bidi w:val="0"/>
        <w:adjustRightInd w:val="0"/>
        <w:snapToGrid/>
        <w:spacing w:line="560" w:lineRule="exact"/>
        <w:ind w:firstLine="626" w:firstLineChars="200"/>
        <w:jc w:val="both"/>
        <w:textAlignment w:val="auto"/>
        <w:outlineLvl w:val="9"/>
        <w:rPr>
          <w:rFonts w:hint="eastAsia" w:ascii="黑体" w:hAnsi="黑体" w:eastAsia="黑体" w:cs="黑体"/>
          <w:color w:val="000000" w:themeColor="text1"/>
          <w:w w:val="98"/>
          <w:sz w:val="32"/>
          <w:szCs w:val="32"/>
          <w:u w:val="none"/>
          <w:lang w:eastAsia="zh-CN"/>
          <w14:textFill>
            <w14:solidFill>
              <w14:schemeClr w14:val="tx1"/>
            </w14:solidFill>
          </w14:textFill>
        </w:rPr>
      </w:pPr>
      <w:r>
        <w:rPr>
          <w:rFonts w:hint="eastAsia" w:ascii="黑体" w:hAnsi="黑体" w:eastAsia="黑体" w:cs="黑体"/>
          <w:color w:val="000000" w:themeColor="text1"/>
          <w:w w:val="98"/>
          <w:sz w:val="32"/>
          <w:szCs w:val="32"/>
          <w:u w:val="none"/>
          <w:lang w:eastAsia="zh-CN"/>
          <w14:textFill>
            <w14:solidFill>
              <w14:schemeClr w14:val="tx1"/>
            </w14:solidFill>
          </w14:textFill>
        </w:rPr>
        <w:t>二、</w:t>
      </w:r>
      <w:r>
        <w:rPr>
          <w:rFonts w:hint="eastAsia" w:ascii="黑体" w:hAnsi="黑体" w:eastAsia="黑体" w:cs="黑体"/>
          <w:color w:val="000000" w:themeColor="text1"/>
          <w:w w:val="98"/>
          <w:sz w:val="32"/>
          <w:szCs w:val="32"/>
          <w:u w:val="none"/>
          <w:lang w:val="en-US" w:eastAsia="zh-CN"/>
          <w14:textFill>
            <w14:solidFill>
              <w14:schemeClr w14:val="tx1"/>
            </w14:solidFill>
          </w14:textFill>
        </w:rPr>
        <w:t>存在</w:t>
      </w:r>
      <w:r>
        <w:rPr>
          <w:rFonts w:hint="eastAsia" w:ascii="黑体" w:hAnsi="黑体" w:eastAsia="黑体" w:cs="黑体"/>
          <w:color w:val="000000" w:themeColor="text1"/>
          <w:w w:val="98"/>
          <w:sz w:val="32"/>
          <w:szCs w:val="32"/>
          <w:u w:val="none"/>
          <w:lang w:eastAsia="zh-CN"/>
          <w14:textFill>
            <w14:solidFill>
              <w14:schemeClr w14:val="tx1"/>
            </w14:solidFill>
          </w14:textFill>
        </w:rPr>
        <w:t>问题</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楷体" w:hAnsi="楷体" w:eastAsia="楷体" w:cs="楷体"/>
          <w:b w:val="0"/>
          <w:bCs w:val="0"/>
          <w:color w:val="000000"/>
          <w:kern w:val="2"/>
          <w:sz w:val="32"/>
          <w:szCs w:val="32"/>
          <w:u w:val="none"/>
          <w:lang w:val="en-US" w:eastAsia="zh-CN" w:bidi="ar-SA"/>
        </w:rPr>
        <w:t>（一）项目关键岗位人员备案管理混乱，现场管理人员未按合同约定到岗到位，或涉嫌工程转包、挂靠。</w:t>
      </w:r>
      <w:r>
        <w:rPr>
          <w:rFonts w:hint="eastAsia" w:ascii="仿宋" w:hAnsi="仿宋" w:eastAsia="仿宋" w:cs="仿宋"/>
          <w:color w:val="auto"/>
          <w:sz w:val="32"/>
          <w:szCs w:val="32"/>
          <w:u w:val="none"/>
          <w:lang w:val="en-US" w:eastAsia="zh-CN"/>
        </w:rPr>
        <w:t>本次检查中发现，多个工程项目未按投标承诺或合同约定的要求配备关键岗位管理人员，存在由非合同单位人员进行人员备案或实际管理的情形。具体如下：龙港市人民医院建设工程室外工程和主体附属用房工程、温州机场交通枢纽综合体及公用配套工程-综合体商业公共区装饰工程备案的监理人员数量均未达到招标文件约定要求；龙湾二期智能制造基地及配套基础设施建设工程（一期）一阶段市政监理员项某某、龙湾二期智能制造基地及配套基础设施建设工程（二期）软基处理工程土建监理员邱某某社保未在合同单位缴纳；温州S1三垟湿地站公交首末站工程房建专监王某社保缴纳单位为众生设计集团有限公司乐清分公司；瓯江口产业集聚区国家级综合保税区基础设施配套提升工程-人才宿舍二期二次装修工程施工单位为金工建设集团股份有限公司，项目经理王某某未在岗，现场却另有管理人员赵某某，其社保未在合同单位缴纳，且无法提供劳务合同及工作发放记录，工程备案技术负责人陈某、安全员陈某某等人社保缴纳单位为浙江昕耀建设有限公司，备案施工员金某某社保缴纳单位为浙江西冠建设有限公司，存在工程转包、挂靠嫌疑。</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楷体" w:hAnsi="楷体" w:eastAsia="楷体" w:cs="楷体"/>
          <w:b w:val="0"/>
          <w:bCs w:val="0"/>
          <w:color w:val="000000"/>
          <w:kern w:val="2"/>
          <w:sz w:val="32"/>
          <w:szCs w:val="32"/>
          <w:u w:val="none"/>
          <w:lang w:val="en-US" w:eastAsia="zh-CN" w:bidi="ar-SA"/>
        </w:rPr>
        <w:t>（二）人员变更未及时履行审批程序，违约处罚未及时落实。</w:t>
      </w:r>
      <w:r>
        <w:rPr>
          <w:rFonts w:hint="eastAsia" w:ascii="仿宋" w:hAnsi="仿宋" w:eastAsia="仿宋" w:cs="仿宋"/>
          <w:color w:val="auto"/>
          <w:sz w:val="32"/>
          <w:szCs w:val="32"/>
          <w:u w:val="none"/>
          <w:lang w:val="en-US" w:eastAsia="zh-CN"/>
        </w:rPr>
        <w:t>关键岗位人员变更情形众多，变更手续不齐全，存在擅自离岗后补办变更手续、长期不在岗授权他人履职等情形。具体如下：龙湾二期智能制造基地及配套基础设施建设工程（一期）一阶段一标段市政监理员项某某开工至今一直未到岗，由倪某某代岗且未办理人员变更手续；浙江东方职业技术学院金海园区二期建设工程C-06地块软基处理工程总承包安全员孙某、李某拟变更为钱某某、鞠某某，未办理人员变更手续，原安全员已离岗；温州S1三垟湿地站公交首末站工程总监方某变更为潘某某，温州市瓯江口新区一期环岛南路、纬六路、经十一路等3条市政道路工程项目经理何某某变更为罗某某，涉及违约责任均未处罚。</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仿宋" w:hAnsi="仿宋" w:eastAsia="仿宋" w:cs="仿宋"/>
          <w:color w:val="auto"/>
          <w:sz w:val="32"/>
          <w:szCs w:val="32"/>
          <w:u w:val="none"/>
          <w:lang w:val="en" w:eastAsia="zh-CN"/>
        </w:rPr>
      </w:pPr>
      <w:r>
        <w:rPr>
          <w:rFonts w:hint="eastAsia" w:ascii="楷体" w:hAnsi="楷体" w:eastAsia="楷体" w:cs="楷体"/>
          <w:b w:val="0"/>
          <w:bCs w:val="0"/>
          <w:color w:val="000000"/>
          <w:kern w:val="2"/>
          <w:sz w:val="32"/>
          <w:szCs w:val="32"/>
          <w:u w:val="none"/>
          <w:lang w:val="en-US" w:eastAsia="zh-CN" w:bidi="ar-SA"/>
        </w:rPr>
        <w:t>（三）人员考勤请假制度执行不严格，关键岗位人员到岗率不足。</w:t>
      </w:r>
      <w:r>
        <w:rPr>
          <w:rFonts w:hint="eastAsia" w:ascii="仿宋" w:hAnsi="仿宋" w:eastAsia="仿宋" w:cs="仿宋"/>
          <w:color w:val="auto"/>
          <w:sz w:val="32"/>
          <w:szCs w:val="32"/>
          <w:u w:val="none"/>
          <w:lang w:val="en-US" w:eastAsia="zh-CN"/>
        </w:rPr>
        <w:t>本次检查中，各工程项目人员考勤方式不一、流于形式，存在</w:t>
      </w:r>
      <w:r>
        <w:rPr>
          <w:rFonts w:hint="default" w:ascii="仿宋" w:hAnsi="仿宋" w:eastAsia="仿宋" w:cs="仿宋"/>
          <w:color w:val="auto"/>
          <w:sz w:val="32"/>
          <w:szCs w:val="32"/>
          <w:u w:val="none"/>
          <w:lang w:val="en" w:eastAsia="zh-CN"/>
        </w:rPr>
        <w:t>个别</w:t>
      </w:r>
      <w:r>
        <w:rPr>
          <w:rFonts w:hint="eastAsia" w:ascii="仿宋" w:hAnsi="仿宋" w:eastAsia="仿宋" w:cs="仿宋"/>
          <w:color w:val="auto"/>
          <w:sz w:val="32"/>
          <w:szCs w:val="32"/>
          <w:u w:val="none"/>
          <w:lang w:val="en-US" w:eastAsia="zh-CN"/>
        </w:rPr>
        <w:t>关键岗位人员未请假擅自离岗、</w:t>
      </w:r>
      <w:r>
        <w:rPr>
          <w:rFonts w:hint="default" w:ascii="仿宋" w:hAnsi="仿宋" w:eastAsia="仿宋" w:cs="仿宋"/>
          <w:color w:val="auto"/>
          <w:sz w:val="32"/>
          <w:szCs w:val="32"/>
          <w:u w:val="none"/>
          <w:lang w:val="en" w:eastAsia="zh-CN"/>
        </w:rPr>
        <w:t>管理人员长期不参加考勤</w:t>
      </w:r>
      <w:r>
        <w:rPr>
          <w:rFonts w:hint="eastAsia" w:ascii="仿宋" w:hAnsi="仿宋" w:eastAsia="仿宋" w:cs="仿宋"/>
          <w:color w:val="auto"/>
          <w:sz w:val="32"/>
          <w:szCs w:val="32"/>
          <w:u w:val="none"/>
          <w:lang w:val="en-US" w:eastAsia="zh-CN"/>
        </w:rPr>
        <w:t>的情形</w:t>
      </w:r>
      <w:r>
        <w:rPr>
          <w:rFonts w:hint="eastAsia" w:ascii="仿宋" w:hAnsi="仿宋" w:eastAsia="仿宋" w:cs="仿宋"/>
          <w:color w:val="auto"/>
          <w:sz w:val="32"/>
          <w:szCs w:val="32"/>
          <w:u w:val="none"/>
          <w:lang w:val="en" w:eastAsia="zh-CN"/>
        </w:rPr>
        <w:t>。</w:t>
      </w:r>
      <w:r>
        <w:rPr>
          <w:rFonts w:hint="eastAsia" w:ascii="仿宋" w:hAnsi="仿宋" w:eastAsia="仿宋" w:cs="仿宋"/>
          <w:color w:val="auto"/>
          <w:sz w:val="32"/>
          <w:szCs w:val="32"/>
          <w:u w:val="none"/>
          <w:lang w:val="en-US" w:eastAsia="zh-CN"/>
        </w:rPr>
        <w:t>具体如下：温州机场交通枢纽综合体及公用配套工程-综合体商业公共区装饰工程项目经理丁某某、技术负责人徐某、温州机场交通枢纽综合体及公用配套工程-综合体办公公共区装饰工程项目经理金某均未在岗，且未提供考勤材料；通海大道228国道至金海大道段（金丽温高速桥下）工程、浙江东方职业技术学院金海园区二期建设工程C-06地块软基处理工程总承包未建立考勤机制；温州S1三垟湿地站公交首末站工程技术负责人马某某于11月16日至11月30日请假，请假手续不规范，未经总监及建设单位审批确认，12月至今缺岗未办理请假手续，涉及违约责任未处罚落实；瓯江口产业集聚区国家级综合保税区基础设施配套提升工程-人才宿舍二期二次装修监理单位个别备案人员到岗天数未达合同约定要求。</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楷体" w:hAnsi="楷体" w:eastAsia="楷体" w:cs="楷体"/>
          <w:b w:val="0"/>
          <w:bCs w:val="0"/>
          <w:color w:val="000000"/>
          <w:kern w:val="2"/>
          <w:sz w:val="32"/>
          <w:szCs w:val="32"/>
          <w:u w:val="none"/>
          <w:lang w:val="en-US" w:eastAsia="zh-CN" w:bidi="ar-SA"/>
        </w:rPr>
        <w:t>（四）业主标后管理履职不到位。</w:t>
      </w:r>
      <w:r>
        <w:rPr>
          <w:rFonts w:hint="eastAsia" w:ascii="仿宋" w:hAnsi="仿宋" w:eastAsia="仿宋" w:cs="仿宋"/>
          <w:color w:val="auto"/>
          <w:sz w:val="32"/>
          <w:szCs w:val="32"/>
          <w:u w:val="none"/>
          <w:lang w:val="en-US" w:eastAsia="zh-CN"/>
        </w:rPr>
        <w:t>部分项目业主主体责任落实不到位，标后管理制度缺乏，对建设项目整体运行情况了解不深，管理不严。除考勤请假制度执行不严格外，业主单位未严格落实追究承建单位因人员考勤、请假、变更等原因造成的违约责任和经济赔偿。</w:t>
      </w:r>
    </w:p>
    <w:p>
      <w:pPr>
        <w:keepNext w:val="0"/>
        <w:keepLines w:val="0"/>
        <w:pageBreakBefore w:val="0"/>
        <w:widowControl w:val="0"/>
        <w:kinsoku/>
        <w:wordWrap/>
        <w:overflowPunct/>
        <w:topLinePunct w:val="0"/>
        <w:autoSpaceDE/>
        <w:autoSpaceDN/>
        <w:bidi w:val="0"/>
        <w:adjustRightInd w:val="0"/>
        <w:snapToGrid/>
        <w:spacing w:line="560" w:lineRule="exact"/>
        <w:ind w:firstLine="626" w:firstLineChars="200"/>
        <w:jc w:val="both"/>
        <w:textAlignment w:val="auto"/>
        <w:outlineLvl w:val="9"/>
        <w:rPr>
          <w:rFonts w:hint="eastAsia" w:ascii="黑体" w:hAnsi="黑体" w:eastAsia="黑体" w:cs="黑体"/>
          <w:color w:val="000000" w:themeColor="text1"/>
          <w:w w:val="98"/>
          <w:sz w:val="32"/>
          <w:szCs w:val="32"/>
          <w:u w:val="none"/>
          <w:lang w:val="en-US" w:eastAsia="zh-CN"/>
          <w14:textFill>
            <w14:solidFill>
              <w14:schemeClr w14:val="tx1"/>
            </w14:solidFill>
          </w14:textFill>
        </w:rPr>
      </w:pPr>
      <w:r>
        <w:rPr>
          <w:rFonts w:hint="eastAsia" w:ascii="黑体" w:hAnsi="黑体" w:eastAsia="黑体" w:cs="黑体"/>
          <w:color w:val="000000" w:themeColor="text1"/>
          <w:w w:val="98"/>
          <w:sz w:val="32"/>
          <w:szCs w:val="32"/>
          <w:u w:val="none"/>
          <w:lang w:eastAsia="zh-CN"/>
          <w14:textFill>
            <w14:solidFill>
              <w14:schemeClr w14:val="tx1"/>
            </w14:solidFill>
          </w14:textFill>
        </w:rPr>
        <w:t>三、处理意见</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为进一步增强合同主体的履约意识，规范各方行为，根据上述检查情况，作如下处理意见：</w:t>
      </w:r>
    </w:p>
    <w:p>
      <w:pPr>
        <w:pStyle w:val="8"/>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rPr>
          <w:rFonts w:hint="eastAsia" w:ascii="仿宋" w:hAnsi="仿宋" w:eastAsia="仿宋" w:cs="仿宋"/>
          <w:color w:val="auto"/>
          <w:kern w:val="2"/>
          <w:sz w:val="32"/>
          <w:szCs w:val="32"/>
          <w:u w:val="none"/>
          <w:lang w:val="en-US" w:eastAsia="zh-CN" w:bidi="ar-SA"/>
        </w:rPr>
      </w:pPr>
      <w:r>
        <w:rPr>
          <w:rFonts w:hint="eastAsia" w:ascii="楷体" w:hAnsi="楷体" w:eastAsia="楷体" w:cs="楷体"/>
          <w:b w:val="0"/>
          <w:bCs w:val="0"/>
          <w:color w:val="000000"/>
          <w:kern w:val="2"/>
          <w:sz w:val="32"/>
          <w:szCs w:val="32"/>
          <w:u w:val="none"/>
          <w:lang w:val="en-US" w:eastAsia="zh-CN" w:bidi="ar-SA"/>
        </w:rPr>
        <w:t>（一）</w:t>
      </w:r>
      <w:r>
        <w:rPr>
          <w:rFonts w:hint="eastAsia" w:ascii="仿宋" w:hAnsi="仿宋" w:eastAsia="仿宋" w:cs="仿宋"/>
          <w:color w:val="auto"/>
          <w:kern w:val="2"/>
          <w:sz w:val="32"/>
          <w:szCs w:val="32"/>
          <w:u w:val="none"/>
          <w:lang w:val="en-US" w:eastAsia="zh-CN" w:bidi="ar-SA"/>
        </w:rPr>
        <w:t>针对本次检查中发现的问题，经现场检查组人员讨论研究已书面反馈相关参建单位，责令相关业主单位即刻整改，涉及考勤不规范的，应督促承建单位将人员信息及时录入“瓯E管”合同履约监测系统实施动态管理，同时对承建单位因人员变更、考勤等产生的合同违约赔偿严格落实责任追究，并根据合同履约检查情况反馈单上注明的整改期限将整改落实、违约赔偿缴纳情况书面反馈我办，逾期未整改将通报纪检监察部门追究相关人员责任。</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楷体" w:hAnsi="楷体" w:eastAsia="楷体" w:cs="楷体"/>
          <w:b w:val="0"/>
          <w:bCs w:val="0"/>
          <w:color w:val="000000"/>
          <w:kern w:val="2"/>
          <w:sz w:val="32"/>
          <w:szCs w:val="32"/>
          <w:u w:val="none"/>
          <w:lang w:val="en-US" w:eastAsia="zh-CN" w:bidi="ar-SA"/>
        </w:rPr>
        <w:t>（二）</w:t>
      </w:r>
      <w:r>
        <w:rPr>
          <w:rFonts w:hint="eastAsia" w:ascii="仿宋" w:hAnsi="仿宋" w:eastAsia="仿宋" w:cs="仿宋"/>
          <w:color w:val="auto"/>
          <w:sz w:val="32"/>
          <w:szCs w:val="32"/>
          <w:u w:val="none"/>
          <w:lang w:val="en-US" w:eastAsia="zh-CN"/>
        </w:rPr>
        <w:t>对检查中发现的瓯江口产业集聚区国家级综合保税区基础设施配套提升工程-人才宿舍二期二次装修工程施工单位金工建设集团股份有限公司存在挂靠、转包嫌疑问题，现场已反馈建设单位要求其进一步核实，线索同步移交至项目属地行业主管部门进行调查核实，行业主管部门查实后应将处理结果反馈我办。</w:t>
      </w:r>
    </w:p>
    <w:p>
      <w:pPr>
        <w:pStyle w:val="8"/>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rPr>
          <w:rFonts w:hint="eastAsia" w:ascii="仿宋" w:hAnsi="仿宋" w:eastAsia="仿宋" w:cs="仿宋"/>
          <w:color w:val="auto"/>
          <w:kern w:val="2"/>
          <w:sz w:val="32"/>
          <w:szCs w:val="32"/>
          <w:u w:val="none"/>
          <w:lang w:val="en-US" w:eastAsia="zh-CN" w:bidi="ar-SA"/>
        </w:rPr>
      </w:pPr>
      <w:r>
        <w:rPr>
          <w:rFonts w:hint="eastAsia" w:ascii="楷体" w:hAnsi="楷体" w:eastAsia="楷体" w:cs="楷体"/>
          <w:b w:val="0"/>
          <w:bCs w:val="0"/>
          <w:color w:val="000000"/>
          <w:kern w:val="2"/>
          <w:sz w:val="32"/>
          <w:szCs w:val="32"/>
          <w:u w:val="none"/>
          <w:lang w:val="en-US" w:eastAsia="zh-CN" w:bidi="ar-SA"/>
        </w:rPr>
        <w:t>（三）</w:t>
      </w:r>
      <w:r>
        <w:rPr>
          <w:rFonts w:hint="eastAsia" w:ascii="仿宋" w:hAnsi="仿宋" w:eastAsia="仿宋" w:cs="仿宋"/>
          <w:color w:val="auto"/>
          <w:kern w:val="2"/>
          <w:sz w:val="32"/>
          <w:szCs w:val="32"/>
          <w:u w:val="none"/>
          <w:lang w:val="en-US" w:eastAsia="zh-CN" w:bidi="ar-SA"/>
        </w:rPr>
        <w:t>根据《温州市工程建设项目投标人不良行为信息管理办法（试行）》（温政服〔2023〕22号）规定，对检查中发现存在问题的江苏鑫泰岩土科技有限公司、浙江城央建设有限公司、浙江铭洋项目管理咨询有限公司、合肥钦成建设工程有限责任公司等单位，予以不良行为信息记分管理，在市公共资源交易信用综合平台公示。同时，建议各行业主管部门根据《浙江省建筑市场公共信用信息管理办法》规定，给予记录建筑市场不良信息，对企业信用评价进行相应扣分。</w:t>
      </w:r>
    </w:p>
    <w:p>
      <w:pPr>
        <w:pStyle w:val="8"/>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rPr>
          <w:rFonts w:hint="eastAsia" w:ascii="仿宋" w:hAnsi="仿宋" w:eastAsia="仿宋" w:cs="仿宋"/>
          <w:color w:val="auto"/>
          <w:kern w:val="2"/>
          <w:sz w:val="32"/>
          <w:szCs w:val="32"/>
          <w:u w:val="none"/>
          <w:lang w:val="en-US" w:eastAsia="zh-CN" w:bidi="ar-SA"/>
        </w:rPr>
      </w:pPr>
      <w:r>
        <w:rPr>
          <w:rFonts w:hint="eastAsia" w:ascii="楷体" w:hAnsi="楷体" w:eastAsia="楷体" w:cs="楷体"/>
          <w:b w:val="0"/>
          <w:bCs w:val="0"/>
          <w:color w:val="000000"/>
          <w:kern w:val="2"/>
          <w:sz w:val="32"/>
          <w:szCs w:val="32"/>
          <w:u w:val="none"/>
          <w:lang w:val="en-US" w:eastAsia="zh-CN" w:bidi="ar-SA"/>
        </w:rPr>
        <w:t>（四）</w:t>
      </w:r>
      <w:r>
        <w:rPr>
          <w:rFonts w:hint="eastAsia" w:ascii="仿宋" w:hAnsi="仿宋" w:eastAsia="仿宋" w:cs="仿宋"/>
          <w:color w:val="auto"/>
          <w:kern w:val="2"/>
          <w:sz w:val="32"/>
          <w:szCs w:val="32"/>
          <w:u w:val="none"/>
          <w:lang w:val="en-US" w:eastAsia="zh-CN" w:bidi="ar-SA"/>
        </w:rPr>
        <w:t>针对本次检查中发现的问题，其他项目单位应引以为戒，认真对照检查中发现的问题，进一步落实整改措施，切实加强合同履约管理。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leftChars="0" w:right="0" w:firstLine="0" w:firstLineChars="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leftChars="0" w:right="0" w:firstLine="0" w:firstLineChars="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leftChars="0" w:right="0" w:firstLine="0" w:firstLineChars="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50" w:lineRule="exact"/>
        <w:jc w:val="righ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温州市公共资源交易管理委员会办公室</w:t>
      </w:r>
    </w:p>
    <w:p>
      <w:pPr>
        <w:keepNext w:val="0"/>
        <w:keepLines w:val="0"/>
        <w:pageBreakBefore w:val="0"/>
        <w:kinsoku/>
        <w:wordWrap/>
        <w:overflowPunct/>
        <w:topLinePunct w:val="0"/>
        <w:autoSpaceDE/>
        <w:autoSpaceDN/>
        <w:bidi w:val="0"/>
        <w:adjustRightInd/>
        <w:snapToGrid/>
        <w:spacing w:line="550" w:lineRule="exact"/>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w:t>
      </w:r>
      <w:r>
        <w:rPr>
          <w:rFonts w:hint="eastAsia" w:ascii="仿宋" w:hAnsi="仿宋" w:eastAsia="仿宋" w:cs="仿宋"/>
          <w:color w:val="000000" w:themeColor="text1"/>
          <w:sz w:val="32"/>
          <w:szCs w:val="32"/>
          <w:lang w:val="en-US" w:eastAsia="zh-CN"/>
          <w14:textFill>
            <w14:solidFill>
              <w14:schemeClr w14:val="tx1"/>
            </w14:solidFill>
          </w14:textFill>
        </w:rPr>
        <w:t>23</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default" w:ascii="仿宋" w:hAnsi="仿宋" w:eastAsia="仿宋" w:cs="仿宋"/>
          <w:color w:val="000000" w:themeColor="text1"/>
          <w:sz w:val="32"/>
          <w:szCs w:val="32"/>
          <w:lang w:val="en" w:eastAsia="zh-CN"/>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月25</w:t>
      </w:r>
      <w:r>
        <w:rPr>
          <w:rFonts w:hint="eastAsia" w:ascii="仿宋" w:hAnsi="仿宋" w:eastAsia="仿宋" w:cs="仿宋"/>
          <w:color w:val="000000" w:themeColor="text1"/>
          <w:sz w:val="32"/>
          <w:szCs w:val="32"/>
          <w14:textFill>
            <w14:solidFill>
              <w14:schemeClr w14:val="tx1"/>
            </w14:solidFill>
          </w14:textFill>
        </w:rPr>
        <w:t>日</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tbl>
      <w:tblPr>
        <w:tblStyle w:val="10"/>
        <w:tblpPr w:leftFromText="180" w:rightFromText="180" w:vertAnchor="text" w:horzAnchor="page" w:tblpX="1737" w:tblpY="13082"/>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34" w:type="dxa"/>
            <w:tcBorders>
              <w:left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firstLine="204" w:firstLineChars="100"/>
              <w:jc w:val="both"/>
              <w:textAlignment w:val="auto"/>
              <w:rPr>
                <w:rFonts w:hint="eastAsia" w:ascii="仿宋" w:hAnsi="仿宋" w:eastAsia="仿宋"/>
                <w:spacing w:val="-10"/>
                <w:w w:val="80"/>
                <w:sz w:val="28"/>
                <w:szCs w:val="28"/>
              </w:rPr>
            </w:pPr>
            <w:r>
              <w:rPr>
                <w:rFonts w:hint="eastAsia" w:ascii="仿宋" w:hAnsi="仿宋" w:eastAsia="仿宋"/>
                <w:spacing w:val="-10"/>
                <w:w w:val="80"/>
                <w:sz w:val="28"/>
                <w:szCs w:val="28"/>
              </w:rPr>
              <w:t>温州市政务服务局</w:t>
            </w:r>
            <w:r>
              <w:rPr>
                <w:rFonts w:hint="eastAsia" w:ascii="仿宋" w:hAnsi="仿宋" w:eastAsia="仿宋"/>
                <w:spacing w:val="-10"/>
                <w:w w:val="80"/>
                <w:sz w:val="28"/>
                <w:szCs w:val="28"/>
                <w:lang w:eastAsia="zh-CN"/>
              </w:rPr>
              <w:t>办公室</w:t>
            </w:r>
            <w:r>
              <w:rPr>
                <w:rFonts w:hint="default" w:ascii="仿宋" w:hAnsi="仿宋" w:eastAsia="仿宋"/>
                <w:spacing w:val="-10"/>
                <w:w w:val="80"/>
                <w:sz w:val="28"/>
                <w:szCs w:val="28"/>
              </w:rPr>
              <w:t xml:space="preserve">     </w:t>
            </w:r>
            <w:r>
              <w:rPr>
                <w:rFonts w:hint="eastAsia" w:ascii="仿宋" w:hAnsi="仿宋" w:eastAsia="仿宋"/>
                <w:spacing w:val="-10"/>
                <w:w w:val="80"/>
                <w:sz w:val="28"/>
                <w:szCs w:val="28"/>
              </w:rPr>
              <w:t xml:space="preserve">      </w:t>
            </w:r>
            <w:r>
              <w:rPr>
                <w:rFonts w:hint="eastAsia" w:ascii="仿宋" w:hAnsi="仿宋" w:eastAsia="仿宋"/>
                <w:spacing w:val="-10"/>
                <w:w w:val="80"/>
                <w:sz w:val="28"/>
                <w:szCs w:val="28"/>
                <w:lang w:val="en-US" w:eastAsia="zh-CN"/>
              </w:rPr>
              <w:t xml:space="preserve"> </w:t>
            </w:r>
            <w:r>
              <w:rPr>
                <w:rFonts w:hint="eastAsia" w:ascii="仿宋" w:hAnsi="仿宋" w:eastAsia="仿宋"/>
                <w:spacing w:val="-10"/>
                <w:w w:val="80"/>
                <w:sz w:val="28"/>
                <w:szCs w:val="28"/>
              </w:rPr>
              <w:t xml:space="preserve"> </w:t>
            </w:r>
            <w:r>
              <w:rPr>
                <w:rFonts w:hint="eastAsia" w:ascii="仿宋" w:hAnsi="仿宋" w:eastAsia="仿宋"/>
                <w:spacing w:val="-10"/>
                <w:w w:val="80"/>
                <w:sz w:val="28"/>
                <w:szCs w:val="28"/>
                <w:lang w:val="en-US" w:eastAsia="zh-CN"/>
              </w:rPr>
              <w:t xml:space="preserve"> </w:t>
            </w:r>
            <w:r>
              <w:rPr>
                <w:rFonts w:hint="eastAsia" w:ascii="仿宋" w:hAnsi="仿宋" w:eastAsia="仿宋"/>
                <w:spacing w:val="-10"/>
                <w:w w:val="80"/>
                <w:sz w:val="28"/>
                <w:szCs w:val="28"/>
              </w:rPr>
              <w:t xml:space="preserve">   </w:t>
            </w:r>
            <w:r>
              <w:rPr>
                <w:rFonts w:hint="eastAsia" w:ascii="仿宋" w:hAnsi="仿宋" w:eastAsia="仿宋"/>
                <w:spacing w:val="-10"/>
                <w:w w:val="80"/>
                <w:sz w:val="28"/>
                <w:szCs w:val="28"/>
                <w:lang w:val="en-US" w:eastAsia="zh-CN"/>
              </w:rPr>
              <w:t xml:space="preserve"> </w:t>
            </w:r>
            <w:r>
              <w:rPr>
                <w:rFonts w:hint="eastAsia" w:ascii="仿宋" w:hAnsi="仿宋" w:eastAsia="仿宋"/>
                <w:spacing w:val="-10"/>
                <w:w w:val="80"/>
                <w:sz w:val="28"/>
                <w:szCs w:val="28"/>
              </w:rPr>
              <w:t xml:space="preserve">   </w:t>
            </w:r>
            <w:r>
              <w:rPr>
                <w:rFonts w:hint="eastAsia" w:ascii="仿宋" w:hAnsi="仿宋" w:eastAsia="仿宋"/>
                <w:spacing w:val="-10"/>
                <w:w w:val="80"/>
                <w:sz w:val="28"/>
                <w:szCs w:val="28"/>
                <w:lang w:val="en-US" w:eastAsia="zh-CN"/>
              </w:rPr>
              <w:t xml:space="preserve">   </w:t>
            </w:r>
            <w:r>
              <w:rPr>
                <w:rFonts w:hint="eastAsia" w:ascii="仿宋" w:hAnsi="仿宋" w:eastAsia="仿宋"/>
                <w:spacing w:val="-10"/>
                <w:w w:val="80"/>
                <w:sz w:val="28"/>
                <w:szCs w:val="28"/>
              </w:rPr>
              <w:t xml:space="preserve"> </w:t>
            </w:r>
            <w:r>
              <w:rPr>
                <w:rFonts w:hint="eastAsia" w:ascii="仿宋" w:hAnsi="仿宋" w:eastAsia="仿宋"/>
                <w:spacing w:val="-10"/>
                <w:w w:val="80"/>
                <w:sz w:val="28"/>
                <w:szCs w:val="28"/>
                <w:lang w:val="en-US" w:eastAsia="zh-CN"/>
              </w:rPr>
              <w:t xml:space="preserve">            </w:t>
            </w:r>
            <w:r>
              <w:rPr>
                <w:rFonts w:hint="eastAsia" w:ascii="仿宋" w:hAnsi="仿宋" w:eastAsia="仿宋"/>
                <w:spacing w:val="-10"/>
                <w:w w:val="80"/>
                <w:sz w:val="28"/>
                <w:szCs w:val="28"/>
              </w:rPr>
              <w:t xml:space="preserve"> </w:t>
            </w:r>
            <w:r>
              <w:rPr>
                <w:rFonts w:hint="eastAsia" w:ascii="仿宋" w:hAnsi="仿宋" w:eastAsia="仿宋"/>
                <w:spacing w:val="-10"/>
                <w:w w:val="80"/>
                <w:sz w:val="28"/>
                <w:szCs w:val="28"/>
                <w:lang w:val="en-US" w:eastAsia="zh-CN"/>
              </w:rPr>
              <w:t xml:space="preserve">    2023</w:t>
            </w:r>
            <w:r>
              <w:rPr>
                <w:rFonts w:hint="eastAsia" w:ascii="仿宋" w:hAnsi="仿宋" w:eastAsia="仿宋"/>
                <w:spacing w:val="-10"/>
                <w:w w:val="80"/>
                <w:sz w:val="28"/>
                <w:szCs w:val="28"/>
              </w:rPr>
              <w:t>年</w:t>
            </w:r>
            <w:r>
              <w:rPr>
                <w:rFonts w:hint="eastAsia" w:ascii="仿宋" w:hAnsi="仿宋" w:eastAsia="仿宋"/>
                <w:spacing w:val="-10"/>
                <w:w w:val="80"/>
                <w:sz w:val="28"/>
                <w:szCs w:val="28"/>
                <w:lang w:val="en-US" w:eastAsia="zh-CN"/>
              </w:rPr>
              <w:t>12</w:t>
            </w:r>
            <w:r>
              <w:rPr>
                <w:rFonts w:hint="eastAsia" w:ascii="仿宋" w:hAnsi="仿宋" w:eastAsia="仿宋"/>
                <w:spacing w:val="-10"/>
                <w:w w:val="80"/>
                <w:sz w:val="28"/>
                <w:szCs w:val="28"/>
              </w:rPr>
              <w:t>月</w:t>
            </w:r>
            <w:r>
              <w:rPr>
                <w:rFonts w:hint="eastAsia" w:ascii="仿宋" w:hAnsi="仿宋" w:eastAsia="仿宋"/>
                <w:spacing w:val="-10"/>
                <w:w w:val="80"/>
                <w:sz w:val="28"/>
                <w:szCs w:val="28"/>
                <w:lang w:val="en-US" w:eastAsia="zh-CN"/>
              </w:rPr>
              <w:t>25</w:t>
            </w:r>
            <w:r>
              <w:rPr>
                <w:rFonts w:hint="eastAsia" w:ascii="仿宋" w:hAnsi="仿宋" w:eastAsia="仿宋"/>
                <w:spacing w:val="-10"/>
                <w:w w:val="80"/>
                <w:sz w:val="28"/>
                <w:szCs w:val="28"/>
              </w:rPr>
              <w:t>日印发</w:t>
            </w:r>
          </w:p>
        </w:tc>
      </w:tr>
    </w:tbl>
    <w:p>
      <w:pPr>
        <w:keepNext w:val="0"/>
        <w:keepLines w:val="0"/>
        <w:pageBreakBefore w:val="0"/>
        <w:kinsoku/>
        <w:wordWrap/>
        <w:overflowPunct/>
        <w:topLinePunct w:val="0"/>
        <w:autoSpaceDE/>
        <w:autoSpaceDN/>
        <w:bidi w:val="0"/>
        <w:adjustRightInd/>
        <w:snapToGrid/>
        <w:spacing w:line="550" w:lineRule="exact"/>
        <w:jc w:val="center"/>
        <w:textAlignment w:val="auto"/>
        <w:rPr>
          <w:rFonts w:hint="eastAsia" w:ascii="仿宋" w:hAnsi="仿宋" w:eastAsia="仿宋" w:cs="仿宋"/>
          <w:color w:val="000000" w:themeColor="text1"/>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D74"/>
    <w:rsid w:val="00025399"/>
    <w:rsid w:val="00041AF9"/>
    <w:rsid w:val="00054D74"/>
    <w:rsid w:val="000575E7"/>
    <w:rsid w:val="00081564"/>
    <w:rsid w:val="0008311E"/>
    <w:rsid w:val="00092815"/>
    <w:rsid w:val="00094CED"/>
    <w:rsid w:val="000C43C5"/>
    <w:rsid w:val="000C6B87"/>
    <w:rsid w:val="000C7A8F"/>
    <w:rsid w:val="000F6E04"/>
    <w:rsid w:val="00100E6E"/>
    <w:rsid w:val="00124064"/>
    <w:rsid w:val="00125D89"/>
    <w:rsid w:val="00132AD5"/>
    <w:rsid w:val="00154E2F"/>
    <w:rsid w:val="00161155"/>
    <w:rsid w:val="00167E56"/>
    <w:rsid w:val="001762A8"/>
    <w:rsid w:val="0019172B"/>
    <w:rsid w:val="0019316B"/>
    <w:rsid w:val="00194000"/>
    <w:rsid w:val="001A757A"/>
    <w:rsid w:val="001B22A2"/>
    <w:rsid w:val="001B3993"/>
    <w:rsid w:val="001B60DF"/>
    <w:rsid w:val="001D3E31"/>
    <w:rsid w:val="001F7A1C"/>
    <w:rsid w:val="00227714"/>
    <w:rsid w:val="00230133"/>
    <w:rsid w:val="002375DB"/>
    <w:rsid w:val="00250493"/>
    <w:rsid w:val="00265074"/>
    <w:rsid w:val="0028138F"/>
    <w:rsid w:val="00287789"/>
    <w:rsid w:val="002945ED"/>
    <w:rsid w:val="002A4B45"/>
    <w:rsid w:val="002B3CA7"/>
    <w:rsid w:val="002B56C4"/>
    <w:rsid w:val="002F5552"/>
    <w:rsid w:val="002F7225"/>
    <w:rsid w:val="003201F5"/>
    <w:rsid w:val="00323DB8"/>
    <w:rsid w:val="00325844"/>
    <w:rsid w:val="0032674C"/>
    <w:rsid w:val="00333B19"/>
    <w:rsid w:val="003361B5"/>
    <w:rsid w:val="0035149E"/>
    <w:rsid w:val="0036610F"/>
    <w:rsid w:val="003B62FF"/>
    <w:rsid w:val="003D0E70"/>
    <w:rsid w:val="003D4F71"/>
    <w:rsid w:val="003E3BB7"/>
    <w:rsid w:val="003F6A7F"/>
    <w:rsid w:val="00445DF2"/>
    <w:rsid w:val="0049380D"/>
    <w:rsid w:val="00495E92"/>
    <w:rsid w:val="004A746D"/>
    <w:rsid w:val="004B0CCF"/>
    <w:rsid w:val="004C04EB"/>
    <w:rsid w:val="004E0478"/>
    <w:rsid w:val="004F0617"/>
    <w:rsid w:val="004F16F6"/>
    <w:rsid w:val="004F4C96"/>
    <w:rsid w:val="0051093A"/>
    <w:rsid w:val="00512E12"/>
    <w:rsid w:val="005151EE"/>
    <w:rsid w:val="00525472"/>
    <w:rsid w:val="00557795"/>
    <w:rsid w:val="00563174"/>
    <w:rsid w:val="00567C77"/>
    <w:rsid w:val="00582F65"/>
    <w:rsid w:val="0058604E"/>
    <w:rsid w:val="0058684A"/>
    <w:rsid w:val="00586931"/>
    <w:rsid w:val="00596227"/>
    <w:rsid w:val="005A53EA"/>
    <w:rsid w:val="005A565F"/>
    <w:rsid w:val="005A69A6"/>
    <w:rsid w:val="005B6676"/>
    <w:rsid w:val="005C18EC"/>
    <w:rsid w:val="0060224F"/>
    <w:rsid w:val="00606823"/>
    <w:rsid w:val="00610806"/>
    <w:rsid w:val="006316A7"/>
    <w:rsid w:val="00671F74"/>
    <w:rsid w:val="00680BD2"/>
    <w:rsid w:val="00682BC6"/>
    <w:rsid w:val="006847FE"/>
    <w:rsid w:val="00697BD2"/>
    <w:rsid w:val="006B2624"/>
    <w:rsid w:val="006C31DF"/>
    <w:rsid w:val="006F174B"/>
    <w:rsid w:val="007032C3"/>
    <w:rsid w:val="007465CC"/>
    <w:rsid w:val="007537B1"/>
    <w:rsid w:val="00760B59"/>
    <w:rsid w:val="00776DFA"/>
    <w:rsid w:val="00783A30"/>
    <w:rsid w:val="00786585"/>
    <w:rsid w:val="00791864"/>
    <w:rsid w:val="00792DCD"/>
    <w:rsid w:val="00792ECE"/>
    <w:rsid w:val="007B0B27"/>
    <w:rsid w:val="007B1874"/>
    <w:rsid w:val="007C58E4"/>
    <w:rsid w:val="007E58A1"/>
    <w:rsid w:val="00814985"/>
    <w:rsid w:val="00820FF2"/>
    <w:rsid w:val="00826AEA"/>
    <w:rsid w:val="008343C3"/>
    <w:rsid w:val="008344E4"/>
    <w:rsid w:val="00845649"/>
    <w:rsid w:val="00854876"/>
    <w:rsid w:val="00856AED"/>
    <w:rsid w:val="008601AC"/>
    <w:rsid w:val="0088166C"/>
    <w:rsid w:val="008844D9"/>
    <w:rsid w:val="00884B0E"/>
    <w:rsid w:val="008855DF"/>
    <w:rsid w:val="00886B69"/>
    <w:rsid w:val="00891755"/>
    <w:rsid w:val="008967C9"/>
    <w:rsid w:val="00896DED"/>
    <w:rsid w:val="008A0547"/>
    <w:rsid w:val="008A577C"/>
    <w:rsid w:val="008B16C1"/>
    <w:rsid w:val="008C4855"/>
    <w:rsid w:val="00930F86"/>
    <w:rsid w:val="0093613E"/>
    <w:rsid w:val="00942119"/>
    <w:rsid w:val="009424BD"/>
    <w:rsid w:val="00947611"/>
    <w:rsid w:val="00960929"/>
    <w:rsid w:val="00967C4C"/>
    <w:rsid w:val="009930E0"/>
    <w:rsid w:val="009A20EE"/>
    <w:rsid w:val="009A25EA"/>
    <w:rsid w:val="009A5587"/>
    <w:rsid w:val="009F207F"/>
    <w:rsid w:val="00A20982"/>
    <w:rsid w:val="00A27421"/>
    <w:rsid w:val="00A642B9"/>
    <w:rsid w:val="00A67E44"/>
    <w:rsid w:val="00A71A51"/>
    <w:rsid w:val="00A8646C"/>
    <w:rsid w:val="00AB35B6"/>
    <w:rsid w:val="00AB3BD5"/>
    <w:rsid w:val="00AB459E"/>
    <w:rsid w:val="00AD16DE"/>
    <w:rsid w:val="00AD693C"/>
    <w:rsid w:val="00AE6A1F"/>
    <w:rsid w:val="00B069AD"/>
    <w:rsid w:val="00B143DC"/>
    <w:rsid w:val="00B22D56"/>
    <w:rsid w:val="00B51EB5"/>
    <w:rsid w:val="00B6656C"/>
    <w:rsid w:val="00B67D91"/>
    <w:rsid w:val="00B71F1F"/>
    <w:rsid w:val="00B82AEA"/>
    <w:rsid w:val="00B8469C"/>
    <w:rsid w:val="00B929A2"/>
    <w:rsid w:val="00BB63F7"/>
    <w:rsid w:val="00BC3F75"/>
    <w:rsid w:val="00BD5D09"/>
    <w:rsid w:val="00C12796"/>
    <w:rsid w:val="00C2155C"/>
    <w:rsid w:val="00C25098"/>
    <w:rsid w:val="00C27C64"/>
    <w:rsid w:val="00C529C5"/>
    <w:rsid w:val="00C53B33"/>
    <w:rsid w:val="00C64CCB"/>
    <w:rsid w:val="00C7135B"/>
    <w:rsid w:val="00C778D1"/>
    <w:rsid w:val="00C8130D"/>
    <w:rsid w:val="00C82BCE"/>
    <w:rsid w:val="00CA27B9"/>
    <w:rsid w:val="00CA627A"/>
    <w:rsid w:val="00CA7C4F"/>
    <w:rsid w:val="00CB44AB"/>
    <w:rsid w:val="00CC36A9"/>
    <w:rsid w:val="00CE6566"/>
    <w:rsid w:val="00CF18DC"/>
    <w:rsid w:val="00CF50C5"/>
    <w:rsid w:val="00D04C65"/>
    <w:rsid w:val="00D277E9"/>
    <w:rsid w:val="00D36E90"/>
    <w:rsid w:val="00D46BDB"/>
    <w:rsid w:val="00D55EFA"/>
    <w:rsid w:val="00D72E53"/>
    <w:rsid w:val="00D8323B"/>
    <w:rsid w:val="00D839CF"/>
    <w:rsid w:val="00DA3085"/>
    <w:rsid w:val="00DD2586"/>
    <w:rsid w:val="00DE39B6"/>
    <w:rsid w:val="00DE4274"/>
    <w:rsid w:val="00DE581A"/>
    <w:rsid w:val="00DF62FB"/>
    <w:rsid w:val="00E04D2A"/>
    <w:rsid w:val="00E07F69"/>
    <w:rsid w:val="00E129C7"/>
    <w:rsid w:val="00E505ED"/>
    <w:rsid w:val="00E7209C"/>
    <w:rsid w:val="00E72BA1"/>
    <w:rsid w:val="00E927C5"/>
    <w:rsid w:val="00EA3DC0"/>
    <w:rsid w:val="00EA76CC"/>
    <w:rsid w:val="00EB29AE"/>
    <w:rsid w:val="00EE54C9"/>
    <w:rsid w:val="00EE5B44"/>
    <w:rsid w:val="00F10B8D"/>
    <w:rsid w:val="00F160B1"/>
    <w:rsid w:val="00F235FD"/>
    <w:rsid w:val="00F23E01"/>
    <w:rsid w:val="00F308B0"/>
    <w:rsid w:val="00F45E15"/>
    <w:rsid w:val="00F51B80"/>
    <w:rsid w:val="00F61A14"/>
    <w:rsid w:val="00F633CF"/>
    <w:rsid w:val="00F677F4"/>
    <w:rsid w:val="00F85336"/>
    <w:rsid w:val="00F92910"/>
    <w:rsid w:val="00F942B8"/>
    <w:rsid w:val="00FA494D"/>
    <w:rsid w:val="00FC0FBC"/>
    <w:rsid w:val="00FC4507"/>
    <w:rsid w:val="00FC692F"/>
    <w:rsid w:val="00FC70DD"/>
    <w:rsid w:val="00FF07A0"/>
    <w:rsid w:val="00FF5B3A"/>
    <w:rsid w:val="02C14F86"/>
    <w:rsid w:val="030442A8"/>
    <w:rsid w:val="049B55F3"/>
    <w:rsid w:val="05DB1BE6"/>
    <w:rsid w:val="091B0C46"/>
    <w:rsid w:val="09F50432"/>
    <w:rsid w:val="0AFD7E6C"/>
    <w:rsid w:val="0B3E2D24"/>
    <w:rsid w:val="0B9340DD"/>
    <w:rsid w:val="0C7B3084"/>
    <w:rsid w:val="0DF8ED08"/>
    <w:rsid w:val="0ED5710A"/>
    <w:rsid w:val="10143600"/>
    <w:rsid w:val="105A1344"/>
    <w:rsid w:val="10800920"/>
    <w:rsid w:val="117F1AC0"/>
    <w:rsid w:val="135F2F9F"/>
    <w:rsid w:val="13743787"/>
    <w:rsid w:val="13CD062D"/>
    <w:rsid w:val="153358C5"/>
    <w:rsid w:val="15826286"/>
    <w:rsid w:val="166530F7"/>
    <w:rsid w:val="17053A6D"/>
    <w:rsid w:val="17726C66"/>
    <w:rsid w:val="17BD3F68"/>
    <w:rsid w:val="17FE18F5"/>
    <w:rsid w:val="17FFC576"/>
    <w:rsid w:val="1B086350"/>
    <w:rsid w:val="1C1B2CFC"/>
    <w:rsid w:val="1D4720E9"/>
    <w:rsid w:val="1D9E7A7A"/>
    <w:rsid w:val="1E8D09E4"/>
    <w:rsid w:val="1ED300E0"/>
    <w:rsid w:val="1F4B7512"/>
    <w:rsid w:val="20CC06C3"/>
    <w:rsid w:val="20F83631"/>
    <w:rsid w:val="22957264"/>
    <w:rsid w:val="23216B3B"/>
    <w:rsid w:val="25665D2C"/>
    <w:rsid w:val="25B847E5"/>
    <w:rsid w:val="27BF0CC4"/>
    <w:rsid w:val="291F2A20"/>
    <w:rsid w:val="2BFFDD93"/>
    <w:rsid w:val="2D2F6FC0"/>
    <w:rsid w:val="2DA35480"/>
    <w:rsid w:val="2DD6699E"/>
    <w:rsid w:val="2E1A0EA6"/>
    <w:rsid w:val="2FD14C2F"/>
    <w:rsid w:val="2FDD8EC7"/>
    <w:rsid w:val="30BB3264"/>
    <w:rsid w:val="33230806"/>
    <w:rsid w:val="33A8702F"/>
    <w:rsid w:val="33FDDAFD"/>
    <w:rsid w:val="348F4D53"/>
    <w:rsid w:val="353B0730"/>
    <w:rsid w:val="36AD2F42"/>
    <w:rsid w:val="37082366"/>
    <w:rsid w:val="376B4B44"/>
    <w:rsid w:val="376D2932"/>
    <w:rsid w:val="37EE7273"/>
    <w:rsid w:val="38801D76"/>
    <w:rsid w:val="38C95397"/>
    <w:rsid w:val="39BFD038"/>
    <w:rsid w:val="3ABFD094"/>
    <w:rsid w:val="3BFD54DA"/>
    <w:rsid w:val="3BFDA017"/>
    <w:rsid w:val="3D3F0FAD"/>
    <w:rsid w:val="3DFC4E94"/>
    <w:rsid w:val="3E8900AD"/>
    <w:rsid w:val="3FCA54A1"/>
    <w:rsid w:val="43D66F54"/>
    <w:rsid w:val="43FC709C"/>
    <w:rsid w:val="46C92929"/>
    <w:rsid w:val="471E4803"/>
    <w:rsid w:val="47EE3B21"/>
    <w:rsid w:val="483D3925"/>
    <w:rsid w:val="4A4F610D"/>
    <w:rsid w:val="4A9F3D9D"/>
    <w:rsid w:val="4C4F249A"/>
    <w:rsid w:val="4C9042C9"/>
    <w:rsid w:val="4CA25185"/>
    <w:rsid w:val="4E3D67B3"/>
    <w:rsid w:val="4F2A08C6"/>
    <w:rsid w:val="4F441CA7"/>
    <w:rsid w:val="501063F8"/>
    <w:rsid w:val="50F429AE"/>
    <w:rsid w:val="51FED7AB"/>
    <w:rsid w:val="52A74B07"/>
    <w:rsid w:val="538E1E4C"/>
    <w:rsid w:val="54942DED"/>
    <w:rsid w:val="55770EB5"/>
    <w:rsid w:val="55F710BE"/>
    <w:rsid w:val="57BF7277"/>
    <w:rsid w:val="57E360F3"/>
    <w:rsid w:val="58770558"/>
    <w:rsid w:val="59330F4A"/>
    <w:rsid w:val="59FFFA0F"/>
    <w:rsid w:val="5B3B3C31"/>
    <w:rsid w:val="5B674709"/>
    <w:rsid w:val="5DEFE86F"/>
    <w:rsid w:val="5DF51DEF"/>
    <w:rsid w:val="5E9D8148"/>
    <w:rsid w:val="5EAB55A2"/>
    <w:rsid w:val="5EDF8BE6"/>
    <w:rsid w:val="5EFA7CCD"/>
    <w:rsid w:val="5FB726E9"/>
    <w:rsid w:val="5FBDF788"/>
    <w:rsid w:val="5FDF0F69"/>
    <w:rsid w:val="5FF60DE9"/>
    <w:rsid w:val="5FFAD903"/>
    <w:rsid w:val="63C45B67"/>
    <w:rsid w:val="63CA415F"/>
    <w:rsid w:val="6595177D"/>
    <w:rsid w:val="65AADD7B"/>
    <w:rsid w:val="666A7DF8"/>
    <w:rsid w:val="67D180C3"/>
    <w:rsid w:val="68740B7C"/>
    <w:rsid w:val="6D0F38C5"/>
    <w:rsid w:val="6D6F3044"/>
    <w:rsid w:val="6DFF32DA"/>
    <w:rsid w:val="6EDB9BB9"/>
    <w:rsid w:val="6EEBDAE5"/>
    <w:rsid w:val="6F476CEA"/>
    <w:rsid w:val="6F5526B5"/>
    <w:rsid w:val="6FDDAC02"/>
    <w:rsid w:val="71616668"/>
    <w:rsid w:val="71BF6B69"/>
    <w:rsid w:val="71EC19DB"/>
    <w:rsid w:val="71FC1C71"/>
    <w:rsid w:val="729C783F"/>
    <w:rsid w:val="72C826BE"/>
    <w:rsid w:val="731A12F1"/>
    <w:rsid w:val="732C63A6"/>
    <w:rsid w:val="73B50BE3"/>
    <w:rsid w:val="73BC2EFA"/>
    <w:rsid w:val="73EBE51A"/>
    <w:rsid w:val="74CD14D3"/>
    <w:rsid w:val="74CD2573"/>
    <w:rsid w:val="74F6621F"/>
    <w:rsid w:val="756A7086"/>
    <w:rsid w:val="757DE146"/>
    <w:rsid w:val="75E570D2"/>
    <w:rsid w:val="76FFD46B"/>
    <w:rsid w:val="775F9F86"/>
    <w:rsid w:val="77960B12"/>
    <w:rsid w:val="77987C6A"/>
    <w:rsid w:val="77CF948C"/>
    <w:rsid w:val="77EF130F"/>
    <w:rsid w:val="787FBECC"/>
    <w:rsid w:val="78E15E2B"/>
    <w:rsid w:val="78FFCD29"/>
    <w:rsid w:val="797F5724"/>
    <w:rsid w:val="79AFD6F1"/>
    <w:rsid w:val="7A4427C1"/>
    <w:rsid w:val="7AAC676C"/>
    <w:rsid w:val="7ACFC191"/>
    <w:rsid w:val="7ADE1EC0"/>
    <w:rsid w:val="7AFD08CE"/>
    <w:rsid w:val="7B532EFB"/>
    <w:rsid w:val="7B590F0D"/>
    <w:rsid w:val="7B7236C5"/>
    <w:rsid w:val="7BAAD73A"/>
    <w:rsid w:val="7BEBAD23"/>
    <w:rsid w:val="7BF6513D"/>
    <w:rsid w:val="7BF73C6F"/>
    <w:rsid w:val="7D6B7B57"/>
    <w:rsid w:val="7D739A68"/>
    <w:rsid w:val="7D769CD3"/>
    <w:rsid w:val="7DFF526E"/>
    <w:rsid w:val="7DFF9317"/>
    <w:rsid w:val="7E7A0E86"/>
    <w:rsid w:val="7E9F0A59"/>
    <w:rsid w:val="7EC240DA"/>
    <w:rsid w:val="7EFD101B"/>
    <w:rsid w:val="7F1FCCBB"/>
    <w:rsid w:val="7F6F57F3"/>
    <w:rsid w:val="7F6FA824"/>
    <w:rsid w:val="7F7636DB"/>
    <w:rsid w:val="7F7C13A1"/>
    <w:rsid w:val="7F7D58EC"/>
    <w:rsid w:val="7F7E3E28"/>
    <w:rsid w:val="7FAFD109"/>
    <w:rsid w:val="7FB42F6B"/>
    <w:rsid w:val="7FD74DAE"/>
    <w:rsid w:val="7FE78607"/>
    <w:rsid w:val="7FEB77C2"/>
    <w:rsid w:val="7FEFA37D"/>
    <w:rsid w:val="7FFAE611"/>
    <w:rsid w:val="7FFB6CF9"/>
    <w:rsid w:val="7FFD9E25"/>
    <w:rsid w:val="7FFF0EA9"/>
    <w:rsid w:val="8FE2B298"/>
    <w:rsid w:val="96F4EB85"/>
    <w:rsid w:val="9D4B5CFF"/>
    <w:rsid w:val="9FFEF059"/>
    <w:rsid w:val="A16F1BB3"/>
    <w:rsid w:val="AEF8123E"/>
    <w:rsid w:val="B717667C"/>
    <w:rsid w:val="B75F8B41"/>
    <w:rsid w:val="BA7B23C6"/>
    <w:rsid w:val="BDF792D1"/>
    <w:rsid w:val="BE7FDE44"/>
    <w:rsid w:val="C2FB9318"/>
    <w:rsid w:val="CD77580B"/>
    <w:rsid w:val="D0BBE365"/>
    <w:rsid w:val="D37F2D84"/>
    <w:rsid w:val="D696F5AC"/>
    <w:rsid w:val="D73F5950"/>
    <w:rsid w:val="DA7F6B2F"/>
    <w:rsid w:val="DADC1129"/>
    <w:rsid w:val="DB7DDCA9"/>
    <w:rsid w:val="DD1F7AD4"/>
    <w:rsid w:val="DF3D0F91"/>
    <w:rsid w:val="DFFFDF38"/>
    <w:rsid w:val="E2D64A45"/>
    <w:rsid w:val="E9F71EFB"/>
    <w:rsid w:val="E9FD423F"/>
    <w:rsid w:val="E9FE3E7C"/>
    <w:rsid w:val="EB2FD42A"/>
    <w:rsid w:val="EBE437B8"/>
    <w:rsid w:val="EBE5443F"/>
    <w:rsid w:val="ED9BF34B"/>
    <w:rsid w:val="EEEFEE66"/>
    <w:rsid w:val="EF6779A3"/>
    <w:rsid w:val="EF7B64A0"/>
    <w:rsid w:val="EF9B34AB"/>
    <w:rsid w:val="EFF658FD"/>
    <w:rsid w:val="EFFBC839"/>
    <w:rsid w:val="EFFE3B41"/>
    <w:rsid w:val="EFFE78A8"/>
    <w:rsid w:val="F1F707EB"/>
    <w:rsid w:val="F373ED00"/>
    <w:rsid w:val="F39FE1C7"/>
    <w:rsid w:val="FB7D6765"/>
    <w:rsid w:val="FBFF71A5"/>
    <w:rsid w:val="FC5F77FD"/>
    <w:rsid w:val="FC755A35"/>
    <w:rsid w:val="FDBE21A6"/>
    <w:rsid w:val="FDDF3741"/>
    <w:rsid w:val="FE3FEF4A"/>
    <w:rsid w:val="FE734873"/>
    <w:rsid w:val="FEFDAD5B"/>
    <w:rsid w:val="FF73D467"/>
    <w:rsid w:val="FF8D3738"/>
    <w:rsid w:val="FFADBCBC"/>
    <w:rsid w:val="FFB5836B"/>
    <w:rsid w:val="FFEF3941"/>
    <w:rsid w:val="FFF61132"/>
    <w:rsid w:val="FFF75032"/>
    <w:rsid w:val="FFF7C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Date"/>
    <w:basedOn w:val="1"/>
    <w:next w:val="1"/>
    <w:link w:val="25"/>
    <w:semiHidden/>
    <w:unhideWhenUsed/>
    <w:qFormat/>
    <w:uiPriority w:val="99"/>
    <w:pPr>
      <w:ind w:left="100" w:leftChars="2500"/>
    </w:p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widowControl/>
      <w:spacing w:before="100" w:beforeAutospacing="1" w:after="100" w:afterAutospacing="1" w:line="460" w:lineRule="exact"/>
      <w:ind w:firstLine="200" w:firstLineChars="200"/>
      <w:jc w:val="left"/>
    </w:pPr>
    <w:rPr>
      <w:rFonts w:ascii="宋体" w:hAnsi="宋体" w:eastAsia="宋体" w:cs="宋体"/>
      <w:kern w:val="0"/>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styleId="14">
    <w:name w:val="FollowedHyperlink"/>
    <w:basedOn w:val="12"/>
    <w:semiHidden/>
    <w:unhideWhenUsed/>
    <w:qFormat/>
    <w:uiPriority w:val="99"/>
    <w:rPr>
      <w:b/>
      <w:color w:val="000000"/>
      <w:sz w:val="18"/>
      <w:szCs w:val="18"/>
      <w:u w:val="none"/>
      <w:shd w:val="clear" w:fill="777777"/>
    </w:rPr>
  </w:style>
  <w:style w:type="character" w:styleId="15">
    <w:name w:val="Emphasis"/>
    <w:basedOn w:val="12"/>
    <w:qFormat/>
    <w:uiPriority w:val="0"/>
    <w:rPr>
      <w:color w:val="CC0000"/>
    </w:rPr>
  </w:style>
  <w:style w:type="character" w:styleId="16">
    <w:name w:val="HTML Definition"/>
    <w:basedOn w:val="12"/>
    <w:semiHidden/>
    <w:unhideWhenUsed/>
    <w:qFormat/>
    <w:uiPriority w:val="99"/>
    <w:rPr>
      <w:i/>
    </w:rPr>
  </w:style>
  <w:style w:type="character" w:styleId="17">
    <w:name w:val="HTML Acronym"/>
    <w:basedOn w:val="12"/>
    <w:semiHidden/>
    <w:unhideWhenUsed/>
    <w:qFormat/>
    <w:uiPriority w:val="99"/>
    <w:rPr>
      <w:color w:val="555555"/>
      <w:sz w:val="21"/>
      <w:szCs w:val="21"/>
      <w:bdr w:val="single" w:color="CCCCCC" w:sz="2" w:space="0"/>
      <w:shd w:val="clear" w:fill="EEEEEE"/>
    </w:rPr>
  </w:style>
  <w:style w:type="character" w:styleId="18">
    <w:name w:val="Hyperlink"/>
    <w:basedOn w:val="12"/>
    <w:semiHidden/>
    <w:unhideWhenUsed/>
    <w:qFormat/>
    <w:uiPriority w:val="99"/>
    <w:rPr>
      <w:color w:val="000000"/>
      <w:u w:val="none"/>
    </w:rPr>
  </w:style>
  <w:style w:type="character" w:styleId="19">
    <w:name w:val="HTML Code"/>
    <w:basedOn w:val="12"/>
    <w:semiHidden/>
    <w:unhideWhenUsed/>
    <w:qFormat/>
    <w:uiPriority w:val="99"/>
    <w:rPr>
      <w:rFonts w:hint="default" w:ascii="Consolas" w:hAnsi="Consolas" w:eastAsia="Consolas" w:cs="Consolas"/>
      <w:color w:val="C7254E"/>
      <w:sz w:val="21"/>
      <w:szCs w:val="21"/>
      <w:shd w:val="clear" w:fill="F9F2F4"/>
    </w:rPr>
  </w:style>
  <w:style w:type="character" w:styleId="20">
    <w:name w:val="HTML Keyboard"/>
    <w:basedOn w:val="12"/>
    <w:semiHidden/>
    <w:unhideWhenUsed/>
    <w:qFormat/>
    <w:uiPriority w:val="99"/>
    <w:rPr>
      <w:rFonts w:ascii="Consolas" w:hAnsi="Consolas" w:eastAsia="Consolas" w:cs="Consolas"/>
      <w:color w:val="FFFFFF"/>
      <w:sz w:val="21"/>
      <w:szCs w:val="21"/>
      <w:shd w:val="clear" w:fill="333333"/>
    </w:rPr>
  </w:style>
  <w:style w:type="character" w:styleId="21">
    <w:name w:val="HTML Sample"/>
    <w:basedOn w:val="12"/>
    <w:semiHidden/>
    <w:unhideWhenUsed/>
    <w:qFormat/>
    <w:uiPriority w:val="99"/>
    <w:rPr>
      <w:rFonts w:hint="default" w:ascii="Consolas" w:hAnsi="Consolas" w:eastAsia="Consolas" w:cs="Consolas"/>
      <w:sz w:val="21"/>
      <w:szCs w:val="21"/>
    </w:rPr>
  </w:style>
  <w:style w:type="character" w:customStyle="1" w:styleId="22">
    <w:name w:val="页眉 Char"/>
    <w:basedOn w:val="12"/>
    <w:link w:val="7"/>
    <w:semiHidden/>
    <w:qFormat/>
    <w:uiPriority w:val="99"/>
    <w:rPr>
      <w:sz w:val="18"/>
      <w:szCs w:val="18"/>
    </w:rPr>
  </w:style>
  <w:style w:type="character" w:customStyle="1" w:styleId="23">
    <w:name w:val="页脚 Char"/>
    <w:basedOn w:val="12"/>
    <w:link w:val="6"/>
    <w:qFormat/>
    <w:uiPriority w:val="99"/>
    <w:rPr>
      <w:sz w:val="18"/>
      <w:szCs w:val="18"/>
    </w:rPr>
  </w:style>
  <w:style w:type="paragraph" w:styleId="24">
    <w:name w:val="List Paragraph"/>
    <w:basedOn w:val="1"/>
    <w:qFormat/>
    <w:uiPriority w:val="34"/>
    <w:pPr>
      <w:spacing w:line="460" w:lineRule="exact"/>
      <w:ind w:firstLine="420" w:firstLineChars="200"/>
    </w:pPr>
  </w:style>
  <w:style w:type="character" w:customStyle="1" w:styleId="25">
    <w:name w:val="日期 Char"/>
    <w:basedOn w:val="12"/>
    <w:link w:val="5"/>
    <w:semiHidden/>
    <w:qFormat/>
    <w:uiPriority w:val="99"/>
  </w:style>
  <w:style w:type="character" w:customStyle="1" w:styleId="26">
    <w:name w:val="wx-space"/>
    <w:basedOn w:val="12"/>
    <w:qFormat/>
    <w:uiPriority w:val="0"/>
  </w:style>
  <w:style w:type="character" w:customStyle="1" w:styleId="27">
    <w:name w:val="direct"/>
    <w:basedOn w:val="12"/>
    <w:qFormat/>
    <w:uiPriority w:val="0"/>
  </w:style>
  <w:style w:type="character" w:customStyle="1" w:styleId="28">
    <w:name w:val="layui-layer-tabnow"/>
    <w:basedOn w:val="12"/>
    <w:qFormat/>
    <w:uiPriority w:val="0"/>
    <w:rPr>
      <w:bdr w:val="single" w:color="CCCCCC" w:sz="6" w:space="0"/>
      <w:shd w:val="clear" w:fill="FFFFFF"/>
    </w:rPr>
  </w:style>
  <w:style w:type="character" w:customStyle="1" w:styleId="29">
    <w:name w:val="first-child"/>
    <w:basedOn w:val="12"/>
    <w:qFormat/>
    <w:uiPriority w:val="0"/>
  </w:style>
  <w:style w:type="character" w:customStyle="1" w:styleId="30">
    <w:name w:val="txt-color"/>
    <w:basedOn w:val="12"/>
    <w:qFormat/>
    <w:uiPriority w:val="0"/>
    <w:rPr>
      <w:color w:val="C0C0C0"/>
      <w:sz w:val="18"/>
      <w:szCs w:val="18"/>
    </w:rPr>
  </w:style>
  <w:style w:type="character" w:customStyle="1" w:styleId="31">
    <w:name w:val="hover10"/>
    <w:basedOn w:val="12"/>
    <w:qFormat/>
    <w:uiPriority w:val="0"/>
    <w:rPr>
      <w:color w:val="00000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149</Words>
  <Characters>850</Characters>
  <Lines>7</Lines>
  <Paragraphs>1</Paragraphs>
  <TotalTime>2</TotalTime>
  <ScaleCrop>false</ScaleCrop>
  <LinksUpToDate>false</LinksUpToDate>
  <CharactersWithSpaces>998</CharactersWithSpaces>
  <Application>WPS Office_11.8.2.1118_F1E327BC-269C-435d-A152-05C5408002CA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2019-01-30T06:50:00Z</dcterms:created>
  <dc:creator>张雪芳</dc:creator>
  <cp:lastModifiedBy>greatwall</cp:lastModifiedBy>
  <cp:lastPrinted>2023-12-28T17:28:00Z</cp:lastPrinted>
  <dcterms:modified xsi:type="dcterms:W3CDTF">2024-01-02T15:46:07Z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2052-11.8.2.1118</vt:lpwstr>
  </property>
  <property fmtid="{D5CDD505-2E9C-101B-9397-08002B2CF9AE}" pid="3" name="ICV">
    <vt:lpwstr>0E400E23CA373355D5A0B064D204F3A0</vt:lpwstr>
  </property>
</Properties>
</file>